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535" w:rsidRPr="00353535" w:rsidRDefault="00450BD4" w:rsidP="003535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OBRAZLOŽENJE </w:t>
      </w:r>
      <w:r w:rsidR="00DC5089"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GODIŠNJEG IZVJEŠTAJA O IZVRŠENJU</w:t>
      </w:r>
    </w:p>
    <w:p w:rsidR="00450BD4" w:rsidRPr="00353535" w:rsidRDefault="00DC5089" w:rsidP="003535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PRORAČUNA</w:t>
      </w:r>
      <w:r w:rsidR="00353535"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OPĆINE RUŽIĆ ZA 2022. GODINU</w:t>
      </w:r>
    </w:p>
    <w:p w:rsidR="00450BD4" w:rsidRPr="00353535" w:rsidRDefault="00450BD4" w:rsidP="00353535">
      <w:pPr>
        <w:spacing w:after="0" w:line="240" w:lineRule="auto"/>
        <w:ind w:left="705" w:hanging="705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Temeljem odredbi Zakona o proračunu („Narodne novine“ br. 144/21), te Pravilnika o polugodišnjem i godišnjem izvještaju o izvršenju proračuna („Narodne novine“ br. 24/13, 102/17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1/20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, 147/20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), utvrđena je obveza izrade i podnošenja godišnjeg izvještaja o izvršenju proračuna.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Za 202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. godinu su doneseni Proračun za 202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. godinu („</w:t>
      </w:r>
      <w:bookmarkStart w:id="0" w:name="_Hlk40272111"/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Službeni vjesnik Šibensko-kninske županije br. 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/2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bookmarkEnd w:id="0"/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I. </w:t>
      </w:r>
      <w:bookmarkStart w:id="1" w:name="_Hlk40272083"/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Izmjene i dopune Proračuna za 20</w:t>
      </w:r>
      <w:bookmarkEnd w:id="1"/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. godinu („Služben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o glasilo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Općine Ružić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 br. </w:t>
      </w:r>
      <w:r w:rsidR="00C12B6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3/22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50BD4" w:rsidRPr="00353535" w:rsidRDefault="00450BD4" w:rsidP="00353535">
      <w:pPr>
        <w:pStyle w:val="Default"/>
        <w:ind w:firstLine="707"/>
        <w:jc w:val="both"/>
        <w:rPr>
          <w:color w:val="000000" w:themeColor="text1"/>
        </w:rPr>
      </w:pPr>
      <w:r w:rsidRPr="00353535">
        <w:rPr>
          <w:color w:val="000000" w:themeColor="text1"/>
        </w:rPr>
        <w:tab/>
        <w:t>Godišnji izvještaj o izvršenju proračuna jedinica lokalne i područne (regionalne) samouprave sukladno čl.4. Pravilnika o polugodišnjem i godišnjem izvještaju o izvršenju proračuna sadrži:</w:t>
      </w:r>
    </w:p>
    <w:p w:rsidR="00450BD4" w:rsidRPr="00353535" w:rsidRDefault="00450BD4" w:rsidP="00353535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535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Opći dio proračuna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koji čini Račun prihoda i rashoda, Račun financiranja s analitičkim prikazom te Rezultat poslovanja na razini odjeljka ekonomske klasifikacije.</w:t>
      </w:r>
    </w:p>
    <w:p w:rsidR="00450BD4" w:rsidRPr="00353535" w:rsidRDefault="00450BD4" w:rsidP="00353535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535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Posebni dio proračuna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sadrži tri zasebna izvještaja po proračunskim klasifikacijama: organizacijskoj, ekonomskoj i programskoj </w:t>
      </w:r>
      <w:r w:rsidR="00C76FE0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razini odjeljka ekonomske klasifikacije.</w:t>
      </w:r>
    </w:p>
    <w:p w:rsidR="00450BD4" w:rsidRPr="00353535" w:rsidRDefault="00450BD4" w:rsidP="00353535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535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Obrazloženje ostvarenja prihoda i primitaka, rashoda i izdataka 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dodatno analizira i dopunjuje podatke iz Općeg dijela proračuna kao i iz Posebnog dijela proračuna s posebnim naglaskom na ciljeve koji su ostvareni provedbom programa.</w:t>
      </w:r>
    </w:p>
    <w:p w:rsidR="00450BD4" w:rsidRPr="00353535" w:rsidRDefault="00450BD4" w:rsidP="00353535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535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zaduživanju na domaćem i stranom tržištu novca i  kapitala 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obuhvaća pregled zaduživanja u izvještajnom razdoblju</w:t>
      </w:r>
    </w:p>
    <w:p w:rsidR="00450BD4" w:rsidRPr="00353535" w:rsidRDefault="00450BD4" w:rsidP="00353535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535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danim jamstvima i izdacima po jamstvima 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sadrži pregled danih i protestiranih  jamstava u izvještajnom razdoblju </w:t>
      </w:r>
    </w:p>
    <w:p w:rsidR="00450BD4" w:rsidRPr="00353535" w:rsidRDefault="00450BD4" w:rsidP="00353535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5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korištenju proračunske zalihe 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sadrži podatke o korištenju proračunske zalihe, namjeni korištenja</w:t>
      </w:r>
    </w:p>
    <w:p w:rsidR="00450BD4" w:rsidRPr="00353535" w:rsidRDefault="00450BD4" w:rsidP="0035353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:rsidR="00450BD4" w:rsidRPr="00353535" w:rsidRDefault="00450BD4" w:rsidP="0035353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353535" w:rsidRDefault="00450BD4" w:rsidP="00E6573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OPĆI DIO IZVJEŠTAJA</w:t>
      </w:r>
    </w:p>
    <w:p w:rsidR="00450BD4" w:rsidRPr="00353535" w:rsidRDefault="00C94E70" w:rsidP="00E657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Planirani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prihodi </w:t>
      </w:r>
      <w:r w:rsidR="00450BD4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  </w:t>
      </w:r>
      <w:r w:rsidR="00F65B30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9.110.469</w:t>
      </w:r>
      <w:r w:rsidR="00450BD4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,00 kuna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višak prihoda prethodne godine 1.127.832,00</w:t>
      </w:r>
      <w:r w:rsidR="00DA1973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kuna što čini ukupno planirana  sredstva u iznosu 10.238.301,00 kuna.</w:t>
      </w:r>
    </w:p>
    <w:p w:rsidR="00450BD4" w:rsidRPr="00353535" w:rsidRDefault="00450BD4" w:rsidP="0035353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Ukupni prihodi i primici 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promatranom razdoblju 202</w:t>
      </w:r>
      <w:r w:rsidR="00C94E70"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godine ostvareni su u iznosu od </w:t>
      </w:r>
      <w:r w:rsidR="00C94E70"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5.515.207,73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kuna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ili </w:t>
      </w:r>
      <w:r w:rsidR="00C94E70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60,54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%  godišnjeg plana.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Ukupni rashodi i izdaci u 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promatranom razdoblju 20</w:t>
      </w:r>
      <w:r w:rsidR="00C94E70"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22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godine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izvršeni su u iznosu od  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4.</w:t>
      </w:r>
      <w:r w:rsidR="00C94E70"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549.881,35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kuna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ili </w:t>
      </w:r>
      <w:r w:rsidR="00C94E70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45,09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od plana.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Višak/manjak prihoda tekuće godine</w:t>
      </w: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Razlika između ostvarenih prihoda/primitaka te rashoda/izdataka odnosno višak prihoda i primitaka proračunskog razdoblja  202</w:t>
      </w:r>
      <w:r w:rsidR="00C94E70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iznosi </w:t>
      </w:r>
      <w:r w:rsidR="00C94E70"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818.727,46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kuna. 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4E70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II.  PRIHODI I PRIMICI 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DA1973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slijedećoj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tablici daje se pregled ostvarenih prihoda / primitaka Proračuna Općine Ružić za razdoblje 1- 12/ 202</w:t>
      </w:r>
      <w:r w:rsidR="00C94E70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godine.  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Tablica 1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873" w:type="dxa"/>
        <w:tblInd w:w="-3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2784"/>
        <w:gridCol w:w="1417"/>
        <w:gridCol w:w="1418"/>
        <w:gridCol w:w="1559"/>
        <w:gridCol w:w="992"/>
        <w:gridCol w:w="993"/>
      </w:tblGrid>
      <w:tr w:rsidR="00450BD4" w:rsidRPr="00353535" w:rsidTr="00353535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RB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 202</w:t>
            </w:r>
            <w:r w:rsidR="00C94E70"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Plan za 202</w:t>
            </w:r>
            <w:r w:rsidR="00C94E70"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</w:t>
            </w:r>
          </w:p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1-12/20</w:t>
            </w:r>
            <w:r w:rsidR="00C94E70"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(5/3*</w:t>
            </w:r>
          </w:p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(5/4*</w:t>
            </w:r>
          </w:p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</w:tr>
      <w:tr w:rsidR="00450BD4" w:rsidRPr="00353535" w:rsidTr="00353535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50BD4" w:rsidRPr="00353535" w:rsidTr="00353535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POSLOVANJA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6.074.017,45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9.110.469,00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5.515.207,</w:t>
            </w:r>
            <w:r w:rsidR="001E6C88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60,54</w:t>
            </w:r>
          </w:p>
        </w:tc>
      </w:tr>
      <w:tr w:rsidR="00450BD4" w:rsidRPr="00353535" w:rsidTr="00353535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poreza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1.226.884,81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1.614.718,00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1.439.580,30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117,34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89,15</w:t>
            </w:r>
          </w:p>
        </w:tc>
      </w:tr>
      <w:tr w:rsidR="00450BD4" w:rsidRPr="00353535" w:rsidTr="00353535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Pomoći iz inozemstva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i od subjekata unutar općeg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4.551.834,31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7.096.401,00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3.769.114,68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0171F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0171F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53,11</w:t>
            </w:r>
          </w:p>
        </w:tc>
      </w:tr>
      <w:tr w:rsidR="00450BD4" w:rsidRPr="00353535" w:rsidTr="00353535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imovine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94.134,86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181</w:t>
            </w:r>
            <w:r w:rsidR="00450BD4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.350,00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127.295,77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135,23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70,19</w:t>
            </w:r>
          </w:p>
        </w:tc>
      </w:tr>
      <w:tr w:rsidR="00450BD4" w:rsidRPr="00353535" w:rsidTr="00353535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Prihodi od </w:t>
            </w:r>
            <w:bookmarkStart w:id="2" w:name="_Hlk127865934"/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upravnih i 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administrativnih pristojbi, 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pristojbi po posebnim 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propisima i naknada </w:t>
            </w:r>
            <w:bookmarkEnd w:id="2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201.163,47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</w:t>
            </w:r>
            <w:r w:rsidR="001E0CAA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179.216,98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1E0CAA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82,21</w:t>
            </w:r>
          </w:p>
        </w:tc>
      </w:tr>
      <w:tr w:rsidR="001E6C88" w:rsidRPr="00353535" w:rsidTr="00353535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C88" w:rsidRPr="00353535" w:rsidRDefault="001E6C88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C88" w:rsidRPr="00353535" w:rsidRDefault="001E6C88" w:rsidP="0035353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SVEUKUPNI PRIHODI I PRIMICI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C88" w:rsidRPr="00353535" w:rsidRDefault="001E6C88" w:rsidP="00353535">
            <w:pPr>
              <w:tabs>
                <w:tab w:val="left" w:pos="12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353535" w:rsidRDefault="001E6C88" w:rsidP="00353535">
            <w:pPr>
              <w:tabs>
                <w:tab w:val="left" w:pos="12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6.074.017,45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88" w:rsidRPr="00353535" w:rsidRDefault="001E6C8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353535" w:rsidRDefault="001E6C8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9.110.469,00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88" w:rsidRPr="00353535" w:rsidRDefault="001E6C8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353535" w:rsidRDefault="001E6C8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5.515.207,73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C88" w:rsidRPr="00353535" w:rsidRDefault="001E6C8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353535" w:rsidRDefault="001E6C8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C88" w:rsidRPr="00353535" w:rsidRDefault="001E6C8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353535" w:rsidRDefault="001E6C8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60,54</w:t>
            </w:r>
          </w:p>
        </w:tc>
      </w:tr>
    </w:tbl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Prihodi od poreza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(skupina računa 61)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 skupini poreznih prihoda najveći udio je  poreza i prireza na dohodak od nesamostalnog rada koji je ostvaren je u iznosu </w:t>
      </w:r>
      <w:r w:rsidR="001E0CAA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1.058.951,12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kuna.</w:t>
      </w:r>
    </w:p>
    <w:p w:rsidR="00450BD4" w:rsidRPr="00353535" w:rsidRDefault="00450BD4" w:rsidP="003535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Pomoći iz inozemstva  i od ostalih subjekata unutar općeg proračuna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(skupina</w:t>
      </w:r>
      <w:r w:rsidR="00DA1973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računa 63) za 202</w:t>
      </w:r>
      <w:r w:rsidR="001E0CAA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godinu planirane su u iznosu od </w:t>
      </w:r>
      <w:r w:rsidR="001E0CAA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7.096.401,00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kuna, a ostvarene su u iznosu od </w:t>
      </w:r>
      <w:r w:rsidR="0010171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3.769.114,68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ili </w:t>
      </w:r>
      <w:r w:rsidR="0010171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53,11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% godišnjeg plana.</w:t>
      </w:r>
    </w:p>
    <w:p w:rsidR="00450BD4" w:rsidRPr="00353535" w:rsidRDefault="00450BD4" w:rsidP="00353535">
      <w:pPr>
        <w:spacing w:after="0" w:line="240" w:lineRule="auto"/>
        <w:ind w:left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U tabeli su navedeni svi prihodi od tekućih i kapitalnih pomoći: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5"/>
        <w:gridCol w:w="2297"/>
      </w:tblGrid>
      <w:tr w:rsidR="00450BD4" w:rsidRPr="00353535" w:rsidTr="006B257F">
        <w:tc>
          <w:tcPr>
            <w:tcW w:w="7485" w:type="dxa"/>
          </w:tcPr>
          <w:p w:rsidR="006B257F" w:rsidRPr="00353535" w:rsidRDefault="006B257F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6B257F" w:rsidRPr="00353535" w:rsidRDefault="006B257F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Tekuće pomoći iz državnog proračuna – kompenzacijske mjere</w:t>
            </w:r>
          </w:p>
        </w:tc>
        <w:tc>
          <w:tcPr>
            <w:tcW w:w="2297" w:type="dxa"/>
          </w:tcPr>
          <w:p w:rsidR="0010171F" w:rsidRPr="00353535" w:rsidRDefault="0010171F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BD4" w:rsidRPr="00353535" w:rsidRDefault="0010171F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>1.820.510,37</w:t>
            </w:r>
          </w:p>
        </w:tc>
      </w:tr>
      <w:tr w:rsidR="00450BD4" w:rsidRPr="00353535" w:rsidTr="006B257F">
        <w:tc>
          <w:tcPr>
            <w:tcW w:w="7485" w:type="dxa"/>
          </w:tcPr>
          <w:p w:rsidR="00450BD4" w:rsidRPr="00353535" w:rsidRDefault="00132D06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Kapitalne</w:t>
            </w:r>
            <w:r w:rsidR="00450BD4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pomoći iz Županijskog proračuna - </w:t>
            </w:r>
          </w:p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sufinanciranje uređenja školskog  igrališta</w:t>
            </w:r>
            <w:r w:rsidR="0010171F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i stare škole Mirlović Polje</w:t>
            </w:r>
          </w:p>
        </w:tc>
        <w:tc>
          <w:tcPr>
            <w:tcW w:w="2297" w:type="dxa"/>
          </w:tcPr>
          <w:p w:rsidR="006B257F" w:rsidRPr="00353535" w:rsidRDefault="006B257F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353535" w:rsidRDefault="00132D06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75</w:t>
            </w:r>
            <w:r w:rsidR="00450BD4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.000,00</w:t>
            </w:r>
          </w:p>
        </w:tc>
      </w:tr>
      <w:tr w:rsidR="00450BD4" w:rsidRPr="00353535" w:rsidTr="006B257F">
        <w:tc>
          <w:tcPr>
            <w:tcW w:w="7485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Kapitalne pomoći - MRRFEU, Ministarstvo prostornog uređenja, </w:t>
            </w:r>
          </w:p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graditeljstva i državne imovine</w:t>
            </w:r>
            <w:r w:rsidR="00132D06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2297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353535" w:rsidRDefault="0010171F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>373.303,41</w:t>
            </w:r>
          </w:p>
        </w:tc>
      </w:tr>
      <w:tr w:rsidR="00450BD4" w:rsidRPr="00353535" w:rsidTr="006B257F">
        <w:trPr>
          <w:trHeight w:val="452"/>
        </w:trPr>
        <w:tc>
          <w:tcPr>
            <w:tcW w:w="7485" w:type="dxa"/>
          </w:tcPr>
          <w:p w:rsidR="006B257F" w:rsidRPr="00353535" w:rsidRDefault="006B257F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Tekuće pomoći - Hrvatski zavod za zapošljavanje - javni radovi </w:t>
            </w:r>
          </w:p>
        </w:tc>
        <w:tc>
          <w:tcPr>
            <w:tcW w:w="2297" w:type="dxa"/>
          </w:tcPr>
          <w:p w:rsidR="006B257F" w:rsidRPr="00353535" w:rsidRDefault="006B257F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BD4" w:rsidRPr="00353535" w:rsidRDefault="006B257F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87.674,10</w:t>
            </w:r>
          </w:p>
        </w:tc>
      </w:tr>
      <w:tr w:rsidR="00450BD4" w:rsidRPr="00353535" w:rsidTr="006B257F">
        <w:tc>
          <w:tcPr>
            <w:tcW w:w="7485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Tekuće pomoći temeljem prijenosa EU sredstava - </w:t>
            </w:r>
          </w:p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program „Zaželi“ 20</w:t>
            </w:r>
            <w:r w:rsidR="00132D06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21</w:t>
            </w: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-202</w:t>
            </w:r>
            <w:r w:rsidR="00132D06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297" w:type="dxa"/>
          </w:tcPr>
          <w:p w:rsidR="006B257F" w:rsidRPr="00353535" w:rsidRDefault="006B257F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BD4" w:rsidRPr="00353535" w:rsidRDefault="00132D06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>1.227.314,30</w:t>
            </w:r>
          </w:p>
        </w:tc>
      </w:tr>
      <w:tr w:rsidR="00450BD4" w:rsidRPr="00353535" w:rsidTr="006B257F">
        <w:tc>
          <w:tcPr>
            <w:tcW w:w="7485" w:type="dxa"/>
          </w:tcPr>
          <w:p w:rsidR="00450BD4" w:rsidRPr="00353535" w:rsidRDefault="006B257F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Kapitalne</w:t>
            </w:r>
            <w:r w:rsidR="00450BD4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pomoći temeljem prijenosa EU sredstava </w:t>
            </w:r>
            <w:r w:rsidR="001E6C88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–</w:t>
            </w:r>
            <w:r w:rsidR="00450BD4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r w:rsidR="001E6C88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potpora za lokalni razvoj Leader grupa</w:t>
            </w:r>
          </w:p>
          <w:p w:rsidR="00450BD4" w:rsidRPr="00353535" w:rsidRDefault="006B257F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2297" w:type="dxa"/>
          </w:tcPr>
          <w:p w:rsidR="006B257F" w:rsidRPr="00353535" w:rsidRDefault="006B257F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BD4" w:rsidRPr="00353535" w:rsidRDefault="006B257F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>185.312,50</w:t>
            </w:r>
          </w:p>
        </w:tc>
      </w:tr>
    </w:tbl>
    <w:p w:rsidR="006B257F" w:rsidRPr="00353535" w:rsidRDefault="006B257F" w:rsidP="003535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257F" w:rsidRPr="00353535" w:rsidRDefault="006B257F" w:rsidP="003535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27A4" w:rsidRPr="00353535" w:rsidRDefault="002A27A4" w:rsidP="003535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Prihodi od imovine (račun 64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su ostvareni više u odnosu na prošlu godinu zbog povećanja iznosa zakupnine (konto 6422).</w:t>
      </w:r>
    </w:p>
    <w:p w:rsidR="002A27A4" w:rsidRPr="00353535" w:rsidRDefault="002A27A4" w:rsidP="003535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Prihodi od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upravnih i administrativnih pristojbi, pristojbi po posebnim propisima i naknada su ostvareni 89,09 % od ostvarenja u prethodnoj godini i 82,21 % u odnosu na plan. Najznačajniji prihod u ovoj skupini je komunalna naknada koja je ostvarena 89,84 % od plana.</w:t>
      </w:r>
    </w:p>
    <w:p w:rsidR="002A27A4" w:rsidRPr="00353535" w:rsidRDefault="002A27A4" w:rsidP="003535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27A4" w:rsidRPr="00353535" w:rsidRDefault="002A27A4" w:rsidP="003535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353535" w:rsidRDefault="00450BD4" w:rsidP="00E6573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 RASHODI I IZDACI</w:t>
      </w:r>
    </w:p>
    <w:p w:rsidR="00450BD4" w:rsidRPr="00353535" w:rsidRDefault="00450BD4" w:rsidP="00E6573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Izvršenje rashoda i izdataka Posebnog dijela Proračuna Općine Ružić za razdoblje 1-12/202</w:t>
      </w:r>
      <w:r w:rsidR="006B257F"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godine iskazano je po organizacijskoj i programskoj klasifikaciji.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DA1973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slijedećoj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tablici daje se pregled izvršenih rashoda i izdataka Proračuna Općine Ružić za razdoblje 1-12/202</w:t>
      </w:r>
      <w:r w:rsidR="006B257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41" w:type="dxa"/>
        <w:tblInd w:w="-4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4"/>
        <w:gridCol w:w="2983"/>
        <w:gridCol w:w="1417"/>
        <w:gridCol w:w="1497"/>
        <w:gridCol w:w="1418"/>
        <w:gridCol w:w="906"/>
        <w:gridCol w:w="1026"/>
      </w:tblGrid>
      <w:tr w:rsidR="00450BD4" w:rsidRPr="00353535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Konto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</w:t>
            </w: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202</w:t>
            </w:r>
            <w:r w:rsidR="006B257F"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Plan za 202</w:t>
            </w:r>
            <w:r w:rsidR="006B257F"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</w:t>
            </w:r>
          </w:p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1-12 202</w:t>
            </w:r>
            <w:r w:rsidR="006B257F"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(5/3*</w:t>
            </w:r>
          </w:p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(5/4* 100)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POSLOVANJA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4.273.180,49</w:t>
            </w:r>
            <w:r w:rsidR="00450BD4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5.661.702,08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3.897.798,15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91,22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68,84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zaposlene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="00820E41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535.128,09</w:t>
            </w:r>
          </w:p>
        </w:tc>
        <w:tc>
          <w:tcPr>
            <w:tcW w:w="1497" w:type="dxa"/>
            <w:noWrap/>
            <w:vAlign w:val="center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="00820E41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414.117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="00820E41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036.211,00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73,28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Materijalni rashodi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="00820E41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321.872,05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2.572.215,08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3" w:name="_Hlk96591306"/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bookmarkEnd w:id="3"/>
            <w:r w:rsidR="00820E41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390.653,34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54,06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Financijski rashodi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9.648,37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="00450BD4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11.239,33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116,49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56,20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Pomoći dane u inozemstvo i unutar općeg proračuna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595.462,67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820E41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676.952,66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113,69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93,24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Naknade građanima i 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kućanstvima na temelju osiguranja i dr. naknade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637.106,31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626</w:t>
            </w:r>
            <w:r w:rsidR="00450BD4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518.871,82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81,44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82,89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Ostali rashodi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173.963</w:t>
            </w:r>
            <w:r w:rsidR="00450BD4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303.370</w:t>
            </w:r>
            <w:r w:rsidR="00450BD4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</w:t>
            </w:r>
            <w:r w:rsidR="00452A07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870</w:t>
            </w:r>
            <w:r w:rsidR="00450BD4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151.68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820E41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86,98</w:t>
            </w:r>
          </w:p>
        </w:tc>
      </w:tr>
      <w:tr w:rsidR="00450BD4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NABAVU NEFINANCIJSKE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707.294,39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353535" w:rsidRDefault="00820E4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4.430.000,00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652.083,20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92,19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14,72</w:t>
            </w:r>
          </w:p>
        </w:tc>
      </w:tr>
      <w:tr w:rsidR="000571D8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1D8" w:rsidRPr="00353535" w:rsidRDefault="000571D8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571D8" w:rsidRPr="00353535" w:rsidRDefault="000571D8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bnabavu proizvedene dugotrajne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D8" w:rsidRPr="00353535" w:rsidRDefault="000571D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707.294,39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D8" w:rsidRPr="00353535" w:rsidRDefault="000571D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52A07"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.4</w:t>
            </w: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D8" w:rsidRPr="00353535" w:rsidRDefault="000571D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652.083,20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1D8" w:rsidRPr="00353535" w:rsidRDefault="000571D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92,19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1D8" w:rsidRPr="00353535" w:rsidRDefault="000571D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14,72</w:t>
            </w:r>
          </w:p>
        </w:tc>
      </w:tr>
      <w:tr w:rsidR="0015559B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Pr="00353535" w:rsidRDefault="0015559B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559B" w:rsidRPr="00353535" w:rsidRDefault="0015559B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IZDACI ZA FINANCIJSKU IMOVINU I OTPLATE ZAJMOVA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Pr="00353535" w:rsidRDefault="000571D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146.598,92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146.598,92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15559B" w:rsidRPr="00353535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Pr="00353535" w:rsidRDefault="0015559B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559B" w:rsidRPr="00353535" w:rsidRDefault="0015559B" w:rsidP="003535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Izdaci za otplatu glavnice primljenih kredita i zajmova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Pr="00353535" w:rsidRDefault="000571D8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146.598,92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146.598,92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50BD4" w:rsidRPr="00353535" w:rsidTr="0015559B">
        <w:trPr>
          <w:trHeight w:val="20"/>
        </w:trPr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SVEUKUPNO 3+4</w:t>
            </w:r>
            <w:r w:rsidR="0015559B"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4.980.474,88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10.238.301,00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  <w:r w:rsidR="0015559B"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696.480,27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74,04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353535" w:rsidRDefault="0015559B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45,87</w:t>
            </w:r>
          </w:p>
        </w:tc>
      </w:tr>
    </w:tbl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</w:p>
    <w:p w:rsidR="00450BD4" w:rsidRPr="00353535" w:rsidRDefault="00450BD4" w:rsidP="00E6573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Rashodi za zaposlene</w:t>
      </w:r>
      <w:r w:rsidRPr="0035353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(skupina računa 31)</w:t>
      </w:r>
    </w:p>
    <w:p w:rsidR="000571D8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Rashodi za zaposlene su izvršeni </w:t>
      </w:r>
      <w:r w:rsidR="000571D8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manje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rashoda za zaposlene</w:t>
      </w:r>
      <w:r w:rsidR="002F17AA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prethodnom obračunskom razdoblju</w:t>
      </w:r>
      <w:r w:rsidR="000571D8" w:rsidRPr="00353535">
        <w:rPr>
          <w:rFonts w:ascii="Times New Roman" w:hAnsi="Times New Roman" w:cs="Times New Roman"/>
          <w:sz w:val="24"/>
          <w:szCs w:val="24"/>
        </w:rPr>
        <w:t xml:space="preserve"> iz razloga što je prethodne godine bilo uposleno dvadeset gerontodomaćica u programu „Zaželi“ koje su radile devet mjeseci, a u ovom obračunskom razdoblju četiri mjeseca. </w:t>
      </w:r>
      <w:r w:rsidR="002F17AA" w:rsidRPr="00353535">
        <w:rPr>
          <w:rFonts w:ascii="Times New Roman" w:hAnsi="Times New Roman" w:cs="Times New Roman"/>
          <w:sz w:val="24"/>
          <w:szCs w:val="24"/>
        </w:rPr>
        <w:t xml:space="preserve">Također su rashodi za zaposlene izvršeni manje od plana (73,28 %), naime </w:t>
      </w:r>
      <w:r w:rsidR="00FB2F0C" w:rsidRPr="00353535">
        <w:rPr>
          <w:rFonts w:ascii="Times New Roman" w:hAnsi="Times New Roman" w:cs="Times New Roman"/>
          <w:sz w:val="24"/>
          <w:szCs w:val="24"/>
        </w:rPr>
        <w:t xml:space="preserve">u svibnju 2022. godine </w:t>
      </w:r>
      <w:r w:rsidR="002F17AA" w:rsidRPr="00353535">
        <w:rPr>
          <w:rFonts w:ascii="Times New Roman" w:hAnsi="Times New Roman" w:cs="Times New Roman"/>
          <w:sz w:val="24"/>
          <w:szCs w:val="24"/>
        </w:rPr>
        <w:t xml:space="preserve"> prijavljen je  i novi program „Zaželi</w:t>
      </w:r>
      <w:r w:rsidR="00FB2F0C" w:rsidRPr="00353535">
        <w:rPr>
          <w:rFonts w:ascii="Times New Roman" w:hAnsi="Times New Roman" w:cs="Times New Roman"/>
          <w:sz w:val="24"/>
          <w:szCs w:val="24"/>
        </w:rPr>
        <w:t xml:space="preserve"> III</w:t>
      </w:r>
      <w:r w:rsidR="002F17AA" w:rsidRPr="00353535">
        <w:rPr>
          <w:rFonts w:ascii="Times New Roman" w:hAnsi="Times New Roman" w:cs="Times New Roman"/>
          <w:sz w:val="24"/>
          <w:szCs w:val="24"/>
        </w:rPr>
        <w:t>“ sa dvadeset zaposlenih gerontodomaćica</w:t>
      </w:r>
      <w:r w:rsidR="00FB2F0C" w:rsidRPr="00353535">
        <w:rPr>
          <w:rFonts w:ascii="Times New Roman" w:hAnsi="Times New Roman" w:cs="Times New Roman"/>
          <w:sz w:val="24"/>
          <w:szCs w:val="24"/>
        </w:rPr>
        <w:t xml:space="preserve"> i planiran proračunom</w:t>
      </w:r>
      <w:r w:rsidR="002F17AA" w:rsidRPr="00353535">
        <w:rPr>
          <w:rFonts w:ascii="Times New Roman" w:hAnsi="Times New Roman" w:cs="Times New Roman"/>
          <w:sz w:val="24"/>
          <w:szCs w:val="24"/>
        </w:rPr>
        <w:t xml:space="preserve">, ali je </w:t>
      </w:r>
      <w:r w:rsidR="00FB2F0C" w:rsidRPr="00353535">
        <w:rPr>
          <w:rFonts w:ascii="Times New Roman" w:hAnsi="Times New Roman" w:cs="Times New Roman"/>
          <w:sz w:val="24"/>
          <w:szCs w:val="24"/>
        </w:rPr>
        <w:t xml:space="preserve">nakon duže administrativne provjere </w:t>
      </w:r>
      <w:r w:rsidR="002F17AA" w:rsidRPr="00353535">
        <w:rPr>
          <w:rFonts w:ascii="Times New Roman" w:hAnsi="Times New Roman" w:cs="Times New Roman"/>
          <w:sz w:val="24"/>
          <w:szCs w:val="24"/>
        </w:rPr>
        <w:t xml:space="preserve">odobren u prosincu 2022. godine. </w:t>
      </w:r>
    </w:p>
    <w:p w:rsidR="00353535" w:rsidRDefault="000571D8" w:rsidP="0035353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53535">
        <w:rPr>
          <w:rFonts w:ascii="Times New Roman" w:hAnsi="Times New Roman" w:cs="Times New Roman"/>
          <w:sz w:val="24"/>
          <w:szCs w:val="24"/>
        </w:rPr>
        <w:t xml:space="preserve"> </w:t>
      </w:r>
      <w:r w:rsidR="00E92361" w:rsidRPr="00353535">
        <w:rPr>
          <w:rFonts w:ascii="Times New Roman" w:hAnsi="Times New Roman" w:cs="Times New Roman"/>
          <w:sz w:val="24"/>
          <w:szCs w:val="24"/>
        </w:rPr>
        <w:tab/>
      </w:r>
    </w:p>
    <w:p w:rsidR="00450BD4" w:rsidRPr="00353535" w:rsidRDefault="00450BD4" w:rsidP="00E6573B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Materijalni rashodi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(skupina računa 32)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Materijalni rashodi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su izvršeni</w:t>
      </w:r>
      <w:r w:rsidR="00E92361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iznosu od 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</w:t>
      </w:r>
      <w:r w:rsidR="002F17AA"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390.653,34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kuna ili </w:t>
      </w:r>
      <w:r w:rsidR="002F17AA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105,20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17AA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od prošlogodišnjeg izvršenja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U skupini materijalnih rashoda, najznačajniji rashodi se odnose na trošak električne energije odnosno javne rasvjete zbog poskupljenja energenata, usluge tekućeg i investicijskog održavanja i komunalne usluge, a koji izdaci su objašnjeni kroz Izvješće o izvršenju Programa gradnje i Programa održavanja komunalne infrastrukture. 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Financijski rashodi (skupina 34) </w:t>
      </w: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Financijski rashodi su </w:t>
      </w:r>
      <w:r w:rsidR="009C46B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veći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odnosu na prethodnu godinu</w:t>
      </w:r>
      <w:r w:rsidR="009C46B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148AD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trošak je veći zbog</w:t>
      </w:r>
      <w:r w:rsidR="009C46B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izdavanja poslovnih certifikata i naknade za izdavanje bankarske garancije.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Pomoći dane u inozemstvo i unutar općeg proračuna</w:t>
      </w:r>
      <w:r w:rsidRPr="0035353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36)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Tekuće pomoći unutar općeg proračuna su izvršene u iznosu </w:t>
      </w:r>
      <w:r w:rsidR="009C46BF"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676.952,66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kuna pomoći za sufinanciranje rada Dječjeg vrtića Gradac.</w:t>
      </w:r>
      <w:r w:rsidR="009C46B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roškovi </w:t>
      </w:r>
      <w:r w:rsidR="00A148AD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veći u obračunskom razdoblju</w:t>
      </w:r>
      <w:r w:rsidR="009C46B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odnosu na prethodnu godinu iz razloga što je uposlena još jedna djelatnica na pola radnog vremena i zbog povećanja </w:t>
      </w:r>
      <w:r w:rsidR="00A148AD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materijalnih </w:t>
      </w:r>
      <w:r w:rsidR="009C46BF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troškova</w:t>
      </w:r>
      <w:r w:rsidR="00A148AD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561E0" w:rsidRPr="00353535" w:rsidRDefault="00A561E0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Naknade građanima i kućanstvima</w:t>
      </w:r>
      <w:r w:rsidRPr="0035353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 37</w:t>
      </w:r>
      <w:r w:rsidRPr="003535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Naknade građanima i kućanstvima</w:t>
      </w:r>
      <w:r w:rsidR="00A148AD" w:rsidRPr="0035353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po Socijalnom programu koje se uglavnom se odnose na potpore stimulat</w:t>
      </w:r>
      <w:r w:rsidR="00A561E0" w:rsidRPr="0035353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</w:t>
      </w:r>
      <w:r w:rsidR="00A148AD" w:rsidRPr="0035353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vnog karaktera za novorođenu djecu, novosklopljene brakove, potpore školskoj djeci, studentima,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objašnjene </w:t>
      </w:r>
      <w:r w:rsidR="00A148AD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 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kroz Izvješće o izvršenju Socijalnog programa za 202</w:t>
      </w:r>
      <w:r w:rsidR="00A148AD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. godinu.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Ostali rashodi</w:t>
      </w:r>
      <w:r w:rsidRPr="0035353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 38)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Izvršenje ovih rashoda odnosi se na tekuće donacije, a obuhvaćaju rashode financiranja programa javnih potreba u kulturi, sportu,  rashode za zdravstvene programe, za Dobrovoljno vatrogasno društvo Ružić  te rashode za programsku djelatnost ostalih udruga, društava i zajednica.</w:t>
      </w: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E6573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" w:name="OLE_LINK5"/>
      <w:bookmarkStart w:id="5" w:name="OLE_LINK6"/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 RASHODI ZA NABAVU NEFINANCIJSKE IMOVINE</w:t>
      </w: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36"/>
        <w:gridCol w:w="136"/>
      </w:tblGrid>
      <w:tr w:rsidR="00450BD4" w:rsidRPr="00353535" w:rsidTr="006327BE">
        <w:tc>
          <w:tcPr>
            <w:tcW w:w="8936" w:type="dxa"/>
          </w:tcPr>
          <w:p w:rsidR="001245BA" w:rsidRPr="00353535" w:rsidRDefault="00450BD4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 obračunskom razdoblju </w:t>
            </w:r>
            <w:r w:rsidR="001245BA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sredstva su utrošena </w:t>
            </w: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 </w:t>
            </w:r>
            <w:r w:rsidR="001245BA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obnovu/uređenje vatrogasnog doma Kljaci u iznosu </w:t>
            </w: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245BA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338.646,02</w:t>
            </w: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kuna</w:t>
            </w:r>
            <w:r w:rsidR="001245BA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uređenje </w:t>
            </w:r>
            <w:r w:rsidR="001245BA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stare škole Drvenjak</w:t>
            </w: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 iznosu </w:t>
            </w:r>
            <w:r w:rsidR="001245BA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63.936,36</w:t>
            </w: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kuna</w:t>
            </w:r>
            <w:r w:rsidR="001245BA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uređenje sportsko rekreacijskih terena u iznosu 25.970,83 kuna, uređenje procesijske staze u groblju Kljaci u iznosu 129.190,70 kuna, nabavku uredske opreme u iznosu 19.429,91 kuna, nabavku komunalne opreme, putokaza, u iznosu 56.784,37 kuna i nove programske aplikacije u iznosu 18.125,00 kuna.</w:t>
            </w: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245BA" w:rsidRPr="00353535" w:rsidRDefault="001245BA" w:rsidP="00353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BA" w:rsidRDefault="00A72AAE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U Tablici </w:t>
            </w:r>
            <w:r w:rsidR="00734C09" w:rsidRPr="00353535">
              <w:rPr>
                <w:rFonts w:ascii="Times New Roman" w:hAnsi="Times New Roman" w:cs="Times New Roman"/>
                <w:sz w:val="24"/>
                <w:szCs w:val="24"/>
              </w:rPr>
              <w:t>Izvještaja o izvršenju proračuna</w:t>
            </w: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prikazani su prihodi i rashodi po izvorima financiranja izvršeni u 2022. godini:</w:t>
            </w:r>
          </w:p>
          <w:p w:rsidR="00353535" w:rsidRPr="00353535" w:rsidRDefault="00353535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24"/>
              <w:gridCol w:w="3746"/>
              <w:gridCol w:w="2228"/>
              <w:gridCol w:w="2228"/>
            </w:tblGrid>
            <w:tr w:rsidR="00734C09" w:rsidRPr="00353535" w:rsidTr="00353535">
              <w:tc>
                <w:tcPr>
                  <w:tcW w:w="724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Izvor</w:t>
                  </w:r>
                </w:p>
              </w:tc>
              <w:tc>
                <w:tcPr>
                  <w:tcW w:w="3746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Opis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Izvršenje </w:t>
                  </w:r>
                </w:p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Prihodi (6)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Izvršenje</w:t>
                  </w:r>
                </w:p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Rashodi (3+4)</w:t>
                  </w:r>
                </w:p>
              </w:tc>
            </w:tr>
            <w:tr w:rsidR="00734C09" w:rsidRPr="00353535" w:rsidTr="00353535">
              <w:tc>
                <w:tcPr>
                  <w:tcW w:w="724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46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Opći prihodi i primici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3.342.275,90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3.278.779,97</w:t>
                  </w:r>
                </w:p>
              </w:tc>
            </w:tr>
            <w:tr w:rsidR="00734C09" w:rsidRPr="00353535" w:rsidTr="00353535">
              <w:tc>
                <w:tcPr>
                  <w:tcW w:w="724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746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Prihodi za posebne namjene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224.327,52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220.931,50</w:t>
                  </w:r>
                </w:p>
              </w:tc>
            </w:tr>
            <w:tr w:rsidR="00734C09" w:rsidRPr="00353535" w:rsidTr="00353535">
              <w:tc>
                <w:tcPr>
                  <w:tcW w:w="724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46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Pomoći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1.948.604,31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1.050.169,88</w:t>
                  </w:r>
                </w:p>
              </w:tc>
            </w:tr>
            <w:tr w:rsidR="00734C09" w:rsidRPr="00353535" w:rsidTr="00353535">
              <w:tc>
                <w:tcPr>
                  <w:tcW w:w="724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46" w:type="dxa"/>
                </w:tcPr>
                <w:p w:rsidR="00734C09" w:rsidRPr="00353535" w:rsidRDefault="00734C09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UKUPNO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5.515.207,73</w:t>
                  </w:r>
                </w:p>
              </w:tc>
              <w:tc>
                <w:tcPr>
                  <w:tcW w:w="2228" w:type="dxa"/>
                </w:tcPr>
                <w:p w:rsidR="00734C09" w:rsidRPr="00353535" w:rsidRDefault="00734C09" w:rsidP="0035353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4.549.881,35</w:t>
                  </w:r>
                </w:p>
              </w:tc>
            </w:tr>
          </w:tbl>
          <w:p w:rsidR="00A72AAE" w:rsidRPr="00353535" w:rsidRDefault="00A72AAE" w:rsidP="00353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BA" w:rsidRPr="00353535" w:rsidRDefault="001E6C88" w:rsidP="00353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V. </w:t>
            </w:r>
            <w:r w:rsidR="00D178D9"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RASPOLOŽIVA SREDSTVA IZ PRETHODNIH</w:t>
            </w:r>
            <w:r w:rsidR="00D178D9"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8D9"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r w:rsidR="00D178D9"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(višak prihoda i rezerviranja)</w:t>
            </w:r>
          </w:p>
          <w:p w:rsidR="00D178D9" w:rsidRDefault="00D178D9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Iz viška prihoda poslovanja je izvršen povrat sredstava Hrvatskom zavodu za zapošljavanje </w:t>
            </w:r>
            <w:r w:rsidR="00E92361"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u iznosu 22.245</w:t>
            </w:r>
            <w:r w:rsidR="00E90478" w:rsidRPr="003535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2361"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19 kuna, a </w:t>
            </w: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>po konačnom obračunu programa javnih radova za 2021. godinu koji je završen 30.11.2021. godine.</w:t>
            </w:r>
            <w:r w:rsidR="00A561E0"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>Također je izvršen povrat sredstava u iznosu 1.224,20 kuna</w:t>
            </w:r>
            <w:r w:rsidR="00A561E0"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Ministarstvu prostornog uređenja, graditeljstva i državne imovine za investiciju asfaltiranja cesta u 2021. godini a po konačnom obračunu i ugovoru o postotku sufinanciranja predmetnih radova. Ostala sredstva iz viška su korištena sukladno planu. </w:t>
            </w:r>
          </w:p>
          <w:p w:rsidR="00353535" w:rsidRPr="00353535" w:rsidRDefault="00353535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24" w:rsidRPr="00353535" w:rsidRDefault="00CA1A24" w:rsidP="003535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 RAČUN FINANCIRANJA</w:t>
            </w:r>
          </w:p>
          <w:p w:rsidR="00680EFB" w:rsidRPr="00353535" w:rsidRDefault="00680EFB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>U 2021. godini je primljen zajam iz državnog proračuna uslijed nedostatnih sredstava na proračunu u trenutku povrata poreza po godišnjim prijavama, a u 2022. godini je  omogućena jednokratna uplata duga po namirenju te je krajem prosinca i izvršena</w:t>
            </w:r>
            <w:r w:rsidR="001C4776" w:rsidRPr="00353535">
              <w:rPr>
                <w:rFonts w:ascii="Times New Roman" w:hAnsi="Times New Roman" w:cs="Times New Roman"/>
                <w:sz w:val="24"/>
                <w:szCs w:val="24"/>
              </w:rPr>
              <w:t xml:space="preserve"> u cijelosti</w:t>
            </w:r>
            <w:r w:rsidRPr="003535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5BA" w:rsidRPr="00353535" w:rsidRDefault="00680EFB" w:rsidP="003535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1E6C88"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CA1A24"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PREGLED IZVRŠENJA PRORAČUNA PO PROGRAMIMA</w:t>
            </w:r>
            <w:r w:rsidRPr="00353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6"/>
            </w:tblGrid>
            <w:tr w:rsidR="00450BD4" w:rsidRPr="00353535" w:rsidTr="00680EFB">
              <w:tc>
                <w:tcPr>
                  <w:tcW w:w="8936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68"/>
                    <w:gridCol w:w="68"/>
                  </w:tblGrid>
                  <w:tr w:rsidR="00C274C9" w:rsidRPr="00353535" w:rsidTr="00353535">
                    <w:tc>
                      <w:tcPr>
                        <w:tcW w:w="15023" w:type="dxa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9"/>
                          <w:gridCol w:w="1006"/>
                          <w:gridCol w:w="2541"/>
                          <w:gridCol w:w="1478"/>
                          <w:gridCol w:w="1692"/>
                          <w:gridCol w:w="976"/>
                        </w:tblGrid>
                        <w:tr w:rsidR="00C274C9" w:rsidRPr="00353535" w:rsidTr="00ED610A">
                          <w:trPr>
                            <w:trHeight w:val="205"/>
                          </w:trPr>
                          <w:tc>
                            <w:tcPr>
                              <w:tcW w:w="1077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POZICIJA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BROJ KONTA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VRSTA RASHODA / IZDATAKA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PLANIRANO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REALIZIRANO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INDEKS</w:t>
                              </w:r>
                            </w:p>
                          </w:tc>
                        </w:tr>
                        <w:tr w:rsidR="00C274C9" w:rsidRPr="00353535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SVEUKUPNO</w:t>
                              </w:r>
                            </w:p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REDOVNA DJELATNOST OPĆINSKIH TIJELA</w:t>
                              </w:r>
                            </w:p>
                            <w:p w:rsidR="006327BE" w:rsidRPr="00353535" w:rsidRDefault="006327BE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10.238.301,00</w:t>
                              </w:r>
                            </w:p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1.675.900,00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4.696.480,27</w:t>
                              </w:r>
                            </w:p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1.210.250,09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45,87</w:t>
                              </w:r>
                            </w:p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72,21</w:t>
                              </w:r>
                            </w:p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</w:tr>
                        <w:tr w:rsidR="00C274C9" w:rsidRPr="00353535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Predstavničko i izvršno tijelo Općine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227.968,92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196.932,07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86,39</w:t>
                              </w:r>
                            </w:p>
                          </w:tc>
                        </w:tr>
                        <w:tr w:rsidR="00C274C9" w:rsidRPr="00353535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A100102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Reprezentacija, protokol, proslave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22.640,28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75,47</w:t>
                              </w:r>
                            </w:p>
                          </w:tc>
                        </w:tr>
                        <w:tr w:rsidR="00C274C9" w:rsidRPr="00353535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A100103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Proračunska pričuva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C274C9" w:rsidRPr="00353535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bookmarkStart w:id="6" w:name="_GoBack" w:colFirst="4" w:colLast="4"/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A100104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Rashodi za zaposlene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551.630,00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545.034,37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98,80</w:t>
                              </w:r>
                            </w:p>
                          </w:tc>
                        </w:tr>
                        <w:bookmarkEnd w:id="6"/>
                        <w:tr w:rsidR="00C274C9" w:rsidRPr="00353535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A100105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Materijalni i financijski  rashodi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645.301,08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409.738,46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63,50</w:t>
                              </w:r>
                            </w:p>
                          </w:tc>
                        </w:tr>
                        <w:tr w:rsidR="00C274C9" w:rsidRPr="00353535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K100011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Prostorni plan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160.000,00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C274C9" w:rsidRPr="00353535" w:rsidTr="006E250A">
                          <w:trPr>
                            <w:trHeight w:val="600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  <w:p w:rsidR="006E250A" w:rsidRPr="00353535" w:rsidRDefault="006E250A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K100107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Nabavka opreme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53.000,00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35.904,91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67,75</w:t>
                              </w:r>
                            </w:p>
                          </w:tc>
                        </w:tr>
                      </w:tbl>
                      <w:p w:rsidR="00664BC4" w:rsidRPr="00353535" w:rsidRDefault="006E250A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>Cilj programa</w:t>
                        </w:r>
                        <w:r w:rsidR="00466D7D" w:rsidRPr="00353535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</w:t>
                        </w:r>
                        <w:r w:rsidRPr="00353535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je učinkovito upravljanje</w:t>
                        </w:r>
                        <w:r w:rsidR="006060C3" w:rsidRPr="00353535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i 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obavljanje poslova od lokalnog značaja, upravljanje općinom, izvršavanje proračuna, sve sa svrhom transparentnog poslovanja.</w:t>
                        </w:r>
                      </w:p>
                      <w:p w:rsidR="00664BC4" w:rsidRPr="00353535" w:rsidRDefault="00C743BB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Provedbom ovog programa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izvršena su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sredstva za rad i djelovanje predstavničkog tijela, obilježavanje</w:t>
                        </w:r>
                        <w:r w:rsidR="00F23E8F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državnih praznika i blagdana, redovno financiranje prava zaposlenika iz radnog odnosa. Također 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su izvršena 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sredstva za podmirivanje materijalnih rashoda koji uključuju naknade za prijevoz zaposlenika, dnevnice i putne troškove, troškove stručnog usavršavanja zaposlenika te nesmetano obavljanje upravnih,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stručnih i ostalih poslova općinske uprave, rashoda za materijal i energiju zatim rashod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 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za usluge telefona, pošte i mobitela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usluge tekućeg i investicijskog održavanja, komunalne usluge, zakupnine i najamnine, pristojbe, naknade i članarine, financijske rashode, nabavk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neophodne uredske opreme te ostal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nespomenute rashode poslovanja</w:t>
                        </w:r>
                        <w:r w:rsidR="00E92361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="00664BC4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F23E8F" w:rsidRPr="00353535" w:rsidRDefault="00F23E8F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Kapitalni pr</w:t>
                        </w:r>
                        <w:r w:rsidR="00466D7D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jekt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Izmjena i dopuna prostornog plana 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općine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nije izvršen u obračunskom razdoblju, potpisan je ugovor s izvoditeljem usluge, izdaci će nastati u slijedećoj godini.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82"/>
                          <w:gridCol w:w="1000"/>
                          <w:gridCol w:w="2482"/>
                          <w:gridCol w:w="1451"/>
                          <w:gridCol w:w="1624"/>
                          <w:gridCol w:w="929"/>
                        </w:tblGrid>
                        <w:tr w:rsidR="009E1613" w:rsidRPr="00353535" w:rsidTr="009E1613">
                          <w:trPr>
                            <w:trHeight w:val="600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353535" w:rsidRDefault="006E250A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353535" w:rsidRDefault="006E250A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353535" w:rsidRDefault="006E250A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353535" w:rsidRDefault="006E250A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353535" w:rsidRDefault="006E250A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353535" w:rsidRDefault="006E250A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</w:tr>
                        <w:tr w:rsidR="009E1613" w:rsidRPr="00353535" w:rsidTr="009E1613">
                          <w:trPr>
                            <w:trHeight w:val="741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lastRenderedPageBreak/>
                                <w:t>Program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1002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KOMUNALNA INFRASTRUKTURA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2.041.674,00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1.127.266,49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55,21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A100201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Javna rasvjeta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1.078.000,00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698.144,93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64,76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A100202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Održavanje cesta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120.000,00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70.375,00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58,65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A100203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Ostala komunalna održavanja i usluge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155.000,00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100.669,75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64,95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A100204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Javni radovi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98.674,00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72.101,73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73,07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A100214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Sufinanciranje komunalnog redarstva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K100205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Izgradnja cesta i cestovne infrastrukture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K100206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Gospodarenje otpadom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K100208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Stambena zona Ružić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K100210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Nabavka komunalne opreme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56.784,38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70,98</w:t>
                              </w:r>
                            </w:p>
                          </w:tc>
                        </w:tr>
                        <w:tr w:rsidR="009E1613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K100213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3535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Uređenje groblja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150.000,00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129.190,70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353535" w:rsidRDefault="00C274C9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86,13</w:t>
                              </w:r>
                            </w:p>
                          </w:tc>
                        </w:tr>
                        <w:tr w:rsidR="00542C36" w:rsidRPr="00353535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542C36" w:rsidRPr="00353535" w:rsidRDefault="009E1613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Tekući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353535" w:rsidRDefault="009E1613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T100211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353535" w:rsidRDefault="009E1613" w:rsidP="0035353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Zaštita okoliša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353535" w:rsidRDefault="009E1613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240.000,00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353535" w:rsidRDefault="009E1613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353535" w:rsidRDefault="009E1613" w:rsidP="007A00F8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353535" w:rsidRDefault="00353535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9E1613" w:rsidRPr="00353535" w:rsidRDefault="009E1613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 je osiguravanje i  usmjeravanje cjelovitog razvitka komunalne infrastrukture za kvalitetno zadovoljenje zajedničkih komunalnih potreba građana.</w:t>
                        </w:r>
                      </w:p>
                      <w:p w:rsidR="009E1613" w:rsidRPr="00353535" w:rsidRDefault="009E1613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 Programu je realizirano održavanje nerazvrstanih cesta (70.375,00 kuna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odnosno prema potrebama na terenu i prioritetima.  Također je realizirano i održavanje javnih površina, poljskih i šumskih putova (24.715,00 kuna</w:t>
                        </w:r>
                        <w:r w:rsidR="00C71238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materijal za komunalna održavanja</w:t>
                        </w:r>
                        <w:r w:rsidR="00C71238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(25.215,07 kuna)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održavanje i trošak javne rasvjete</w:t>
                        </w:r>
                        <w:r w:rsidR="00C71238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(698.144,93 kuna) i komunalne usluge, odvoz velikih kontejnera (50.739,68 kuna).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Planirana je i investicija rekonstrukcije javne rasvjete zamjenom postojeće opreme učinkovitijom led rasvjetom</w:t>
                        </w:r>
                        <w:r w:rsidR="00C71238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ali u obračunskom razdoblju je potpisan ugovor i nije došlo do završetka radova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r w:rsidR="00C71238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Projekt zaštita okoliša odnosno sanacija nelegalnih odlagališta nije realiziran iz razloga što nije došlo do sufinanciranja projekta kako je planirano.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Program se realizira</w:t>
                        </w:r>
                        <w:r w:rsidR="00C71238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kontinuirano sukladno planu za pojedine aktivnosti, a sve u svrhu podizanja razine i kvalitete uređenosti</w:t>
                        </w:r>
                        <w:r w:rsidR="00C71238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prema proračunskim mogućnostima.</w:t>
                        </w:r>
                      </w:p>
                      <w:p w:rsidR="009E1613" w:rsidRPr="00353535" w:rsidRDefault="009E1613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9E1613" w:rsidRPr="00353535" w:rsidRDefault="009E1613" w:rsidP="003535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8"/>
                          <w:gridCol w:w="1125"/>
                          <w:gridCol w:w="3223"/>
                          <w:gridCol w:w="1301"/>
                          <w:gridCol w:w="1300"/>
                          <w:gridCol w:w="791"/>
                        </w:tblGrid>
                        <w:tr w:rsidR="00B516EE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PREDŠKOLSKI ODGOJ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683.000,00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667.602,66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97,75</w:t>
                              </w:r>
                            </w:p>
                          </w:tc>
                        </w:tr>
                        <w:tr w:rsidR="00B516EE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A100301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Financiranje programa predškolskog odgoja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683.000,00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667.602,66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353535" w:rsidRDefault="00B516EE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97,75</w:t>
                              </w:r>
                            </w:p>
                          </w:tc>
                        </w:tr>
                      </w:tbl>
                      <w:p w:rsidR="00A561E0" w:rsidRPr="00353535" w:rsidRDefault="00A561E0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052D1" w:rsidRPr="00353535" w:rsidRDefault="008052D1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Cilj programa je 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spostavljanje sustava predškolske djelatnosti i povećanje obuhvata djece predškolskim odgojem.  </w:t>
                        </w:r>
                      </w:p>
                      <w:p w:rsidR="008052D1" w:rsidRPr="00353535" w:rsidRDefault="008052D1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Programom 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su izvršena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financijska sredstva za ostvarivanje predškolske djelatnosti, 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odnosno plaće za sedam zaposlenih  djelatni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ka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a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programom je obuhvaćeno 39 djece u Dječjem vrtiću Gradac u kojem se provode programi odgoja i obrazovanja djece predškolske dobi. Mjerilo uspješnosti je uspostavljanje sustava osiguranja predškolske djelatnosti i povećanje obuhvata djece predškolskim odgojem te redovno funkcioniranje Dječjeg vrtića.</w:t>
                        </w:r>
                      </w:p>
                      <w:p w:rsidR="008052D1" w:rsidRPr="00353535" w:rsidRDefault="008052D1" w:rsidP="003535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37"/>
                          <w:gridCol w:w="1138"/>
                          <w:gridCol w:w="3250"/>
                          <w:gridCol w:w="1312"/>
                          <w:gridCol w:w="1226"/>
                          <w:gridCol w:w="805"/>
                        </w:tblGrid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OBJEKATA U OPĆINI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555.000,00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87.061,36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15,69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lastRenderedPageBreak/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A100408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Održavanje objekata u vlsništvu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5.825,00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14,56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Osnovne škole i Antimalarične stanice u Otavicama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stare škole u Umljanovićima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stare škole u Mirlović Polju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63.936,36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98,36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K100404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Uređenje škole u Čavoglavama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K100407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Projektno - tehnička dokumentacija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K100408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Uređenje okoliša općinske zgrade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Tekući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T100407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Sanacija igrališta i okoliša škole Gradac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200.000,00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17.300,00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8,65</w:t>
                              </w:r>
                            </w:p>
                          </w:tc>
                        </w:tr>
                      </w:tbl>
                      <w:p w:rsidR="00662F84" w:rsidRPr="00353535" w:rsidRDefault="00662F84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052D1" w:rsidRPr="00353535" w:rsidRDefault="006060C3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 je o</w:t>
                        </w:r>
                        <w:r w:rsidR="008052D1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čuvanje, sanacija i revitalizacija porušenih objekata kao i objekata spomeničke kulturne baštine-kulturnih dobara. U svrhu održavanja objekata u vlasništvu (posjedu) općine te u svrhu stvaranja uvjeta za svrsishodnu upotrebu istih potrebno je kontinuirano vršiti njihovu rekonstrukciju i održavanje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te je </w:t>
                        </w:r>
                        <w:r w:rsidR="00E92361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 obračunskom razdoblju realizirano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uređenje objekta stare škole Mirlović Polje koja je sufinancirana od strane Županije Šibensko-kninske i igrališta uz školu Gradac.</w:t>
                        </w:r>
                      </w:p>
                      <w:p w:rsidR="008052D1" w:rsidRPr="00353535" w:rsidRDefault="006060C3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4"/>
                          <w:gridCol w:w="1120"/>
                          <w:gridCol w:w="3024"/>
                          <w:gridCol w:w="1430"/>
                          <w:gridCol w:w="1295"/>
                          <w:gridCol w:w="875"/>
                        </w:tblGrid>
                        <w:tr w:rsidR="00662F84" w:rsidRPr="00353535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1005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SOCIJALNA ZAŠTITA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1.527.727,00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999.263,59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65,41</w:t>
                              </w:r>
                            </w:p>
                          </w:tc>
                        </w:tr>
                        <w:tr w:rsidR="00662F84" w:rsidRPr="00353535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A100501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 predškolcima, učenicima i studentima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177.000,00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150.900,00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85,25</w:t>
                              </w:r>
                            </w:p>
                          </w:tc>
                        </w:tr>
                        <w:tr w:rsidR="00662F84" w:rsidRPr="00353535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A100502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za novosklopljeni brak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32.000,00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24.000,00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75,00</w:t>
                              </w:r>
                            </w:p>
                          </w:tc>
                        </w:tr>
                        <w:tr w:rsidR="00662F84" w:rsidRPr="00353535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A100503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 za novorođenu djecu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80.000,00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76.000,00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95,00</w:t>
                              </w:r>
                            </w:p>
                          </w:tc>
                        </w:tr>
                        <w:tr w:rsidR="00662F84" w:rsidRPr="00353535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A100504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Ostale potpore stanovništvu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69.000,00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11.000,00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15,94</w:t>
                              </w:r>
                            </w:p>
                          </w:tc>
                        </w:tr>
                        <w:tr w:rsidR="00662F84" w:rsidRPr="00353535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A100505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Humanitarno djelovanje i zdravstvo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23.000,00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353535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A100506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Zaželi - program zapošljavanja žena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936.727,00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486.863,59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51,97</w:t>
                              </w:r>
                            </w:p>
                          </w:tc>
                        </w:tr>
                        <w:tr w:rsidR="00662F84" w:rsidRPr="00353535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A100508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Sufinanciranje troškova prijevoza u javnom prometu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210.000,00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227.500,00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108,33</w:t>
                              </w:r>
                            </w:p>
                          </w:tc>
                        </w:tr>
                      </w:tbl>
                      <w:p w:rsidR="006060C3" w:rsidRPr="00353535" w:rsidRDefault="006060C3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052D1" w:rsidRPr="00353535" w:rsidRDefault="008052D1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krb o socijalno najugroženijim i najosjetljivijim skupinama građana i osiguravanje 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sredstava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podmirenje troškova stanovanja kao i razni oblici stimulativne pomoći stanovništvu na području Općine Ružić. Ujedno, cilj programa je sufinanciranje programa udruga i ustanova iz područja humanitarne skrbi koji su od interesa za Općinu i Crvenog križa Drniš.</w:t>
                        </w:r>
                      </w:p>
                      <w:p w:rsidR="00122989" w:rsidRPr="00353535" w:rsidRDefault="008052D1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U okviru ovog programa 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isplaćene su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stimulativne potpore za poboljšanje obrazovnog standarda</w:t>
                        </w:r>
                        <w:r w:rsidR="006060C3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77 učenika osnovne škole, 44 učenika srednje škole, 41 djeteta vrtićke dobi i 22 studenata,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stimulativne potpore za 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14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novorođen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djec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6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novosklopljen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ih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brakov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 jednokratnih potpora korisnicima zajamčene minimalne naknade</w:t>
                        </w:r>
                        <w:r w:rsidR="00E92361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teške životne uvjete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 troškove liječenja.Također su isplaćena sredstva Domu zdravlja Drniš za</w:t>
                        </w:r>
                        <w:r w:rsidR="00A561E0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redovno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funkcioniranje (11.000,00 kuna)</w:t>
                        </w:r>
                        <w:r w:rsidR="00E92361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E92361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privatna </w:t>
                        </w:r>
                        <w:r w:rsidR="00122989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zdravstvena njega R. Juras (5.000,00 kuna) i Crveni križ Drniš (7.000,00 kuna).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Također u okviru ovog programa</w:t>
                        </w:r>
                        <w:r w:rsidR="00E92361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realiziran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i projekt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„Zaželi“ – zapošljavanje žena za pomoć starijim kućanstvima kao i sufinanciranje troškova prijevoza putnika u javnom promet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u.</w:t>
                        </w:r>
                      </w:p>
                      <w:p w:rsidR="008052D1" w:rsidRPr="00353535" w:rsidRDefault="008052D1" w:rsidP="003535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39"/>
                          <w:gridCol w:w="1141"/>
                          <w:gridCol w:w="3106"/>
                          <w:gridCol w:w="1443"/>
                          <w:gridCol w:w="1230"/>
                          <w:gridCol w:w="809"/>
                        </w:tblGrid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1006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JAVNE POTREBE U SPORTU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2.065.000,00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31.670,83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1,53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A100601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Sportske udruge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76,67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K100602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Izgradnja sportskih i rekreacijskih terena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2.005.000,00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7.436,83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0,37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K100603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Izgradnja igrališta Kljaci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1.234,00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4,11</w:t>
                              </w:r>
                            </w:p>
                          </w:tc>
                        </w:tr>
                      </w:tbl>
                      <w:p w:rsidR="00E92361" w:rsidRPr="00353535" w:rsidRDefault="008052D1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poticanje i promicanje sporta, provođenje sportskih aktivnosti djece, mladeži i studenata, djelovanje sportskih udruga, kao i izgradnja sportskih objekata</w:t>
                        </w:r>
                        <w:r w:rsidR="00E92361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:rsidR="008052D1" w:rsidRDefault="008052D1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Značajniji iznos sredstava odnosi se na projekt izgradnje i uređenja SRZ „Gaj“ Ružić kroz sufinanciranje iz sredstava kapitalnih pomoći – mehanizam za oporavak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kako nije raspisan javni poziv, projekt nije niti realiziran u obračunskom razdoblju, tek manji iznos za trošak priključka na električnu mrežu.</w:t>
                        </w:r>
                      </w:p>
                      <w:p w:rsidR="00353535" w:rsidRPr="00353535" w:rsidRDefault="00353535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1"/>
                          <w:gridCol w:w="1115"/>
                          <w:gridCol w:w="3047"/>
                          <w:gridCol w:w="1426"/>
                          <w:gridCol w:w="1290"/>
                          <w:gridCol w:w="869"/>
                        </w:tblGrid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1008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ZAŠTITA OD POŽARA I SUSTAV ZAŠTITE I SPAŠAVANJA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1.070.000,00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483.646,02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45,20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Hrvatska gorska služba spašavanja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Dobrovoljno vatrogasno društvo Ružić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130.000,00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Civilna zaštita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A100804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Javna vatrogasna postrojba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A100806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Planovi i programi iz domene zaštite i spašavanja, zaštite od požara i CZ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K100805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vatrogasnog doma Kljaci</w:t>
                              </w:r>
                            </w:p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880.000,00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338.646,02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38,48</w:t>
                              </w:r>
                            </w:p>
                          </w:tc>
                        </w:tr>
                      </w:tbl>
                      <w:p w:rsidR="002720A3" w:rsidRPr="00353535" w:rsidRDefault="002720A3" w:rsidP="003535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Programom se osiguravaju sredstava za 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rad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Dobrovoljno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vatrogasno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društv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Ružić, HGSS, 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izradu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mjera zaštite i spašavanja na području Općine Ružić sukladno Zakonu o sustavu civilne zaštite, kao i obnov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vatrogasnog Doma Kljaci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koji nije realiziran sukladno planiranim sredstvima</w:t>
                        </w:r>
                        <w:r w:rsidR="00C74EDE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2022. godinu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 Projekt je prijavljen  po raspisanom javnom pozivu PORLZ, MRRFEU, ali nije odobren za 2022. godinu.</w:t>
                        </w:r>
                        <w:r w:rsidR="00C74EDE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Izvršena sredstva u iznosu 338.646,02 kuna se najvećim djelom donose na ugovor iz 2021. godine, odnosno II fazu uređenja koja je sufinancirana sredstvima MRRFEU (projekt PORLZ).</w:t>
                        </w:r>
                      </w:p>
                      <w:p w:rsidR="002720A3" w:rsidRPr="00353535" w:rsidRDefault="002720A3" w:rsidP="003535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41"/>
                          <w:gridCol w:w="1145"/>
                          <w:gridCol w:w="3129"/>
                          <w:gridCol w:w="1320"/>
                          <w:gridCol w:w="1235"/>
                          <w:gridCol w:w="898"/>
                        </w:tblGrid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1011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KULTURA, RELIGIJA I UDRUGE GRAĐANA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120.000,00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89.719,23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74,77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Djelatnosti udruga  i službi u kulturi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28.219,23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56,44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Donacije vjerskim zajednicama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40.000,00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ostalim udrugama civilnog društva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21.500,00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71,67</w:t>
                              </w:r>
                            </w:p>
                          </w:tc>
                        </w:tr>
                      </w:tbl>
                      <w:p w:rsidR="00662F84" w:rsidRPr="00353535" w:rsidRDefault="00662F84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2720A3" w:rsidRPr="00353535" w:rsidRDefault="002720A3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Cilj programa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azvoj civilnog društva na lokalnoj razini i financiranje programa udruga koje su od interesa za Općinu Ružić</w:t>
                        </w:r>
                      </w:p>
                      <w:p w:rsidR="002720A3" w:rsidRDefault="002720A3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Programom 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su izvršena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sredstva 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odnosno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tekuće donacije 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kulturnim udrugama s  područja Općine po odobrenim programima, 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kapitaln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donacij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 vjerskim zajednicama za uređenje vjerskih objekata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kao i potpore ostalim  udrugama civilnog društva po prij</w:t>
                        </w:r>
                        <w:r w:rsidR="005A1EFA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="00D90832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vljenim programima od interesa za Općinu</w:t>
                        </w:r>
                        <w:r w:rsidR="008B6075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:rsidR="00353535" w:rsidRPr="00353535" w:rsidRDefault="00353535" w:rsidP="003535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9"/>
                          <w:gridCol w:w="1177"/>
                          <w:gridCol w:w="3516"/>
                          <w:gridCol w:w="1349"/>
                          <w:gridCol w:w="924"/>
                          <w:gridCol w:w="773"/>
                        </w:tblGrid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1012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POTICANJE RAZVOJA TURIZMA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500.000,00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353535" w:rsidTr="00353535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K101201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Uređenje mreže biciklističkih i pješačkih staza i sadržaja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500.000,00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353535" w:rsidRDefault="00662F84" w:rsidP="00353535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53535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662F84" w:rsidRPr="00353535" w:rsidRDefault="00662F84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2720A3" w:rsidRPr="00353535" w:rsidRDefault="002720A3" w:rsidP="0035353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8B6075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="00C74EDE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oticanje razvoja turizma te stvaranje okvira za konkretne turističke ponude na principima održivog razvoja.</w:t>
                        </w:r>
                      </w:p>
                      <w:p w:rsidR="00C274C9" w:rsidRPr="00353535" w:rsidRDefault="002720A3" w:rsidP="003535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  <w:r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Programom su planirane početne aktivnosti oko poticanja razvoja turizma odnosno turističke ponude na području općine</w:t>
                        </w:r>
                        <w:r w:rsidR="008B6075" w:rsidRPr="0035353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uz sufinanciranje, ali kako nije raspisan jevni poziv, sredstva nisu realizirana.</w:t>
                        </w:r>
                      </w:p>
                    </w:tc>
                    <w:tc>
                      <w:tcPr>
                        <w:tcW w:w="425" w:type="dxa"/>
                      </w:tcPr>
                      <w:p w:rsidR="00C274C9" w:rsidRPr="00353535" w:rsidRDefault="00C274C9" w:rsidP="003535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</w:tr>
                  <w:tr w:rsidR="009E1613" w:rsidRPr="00353535" w:rsidTr="00353535">
                    <w:tc>
                      <w:tcPr>
                        <w:tcW w:w="15023" w:type="dxa"/>
                      </w:tcPr>
                      <w:p w:rsidR="009E1613" w:rsidRPr="00353535" w:rsidRDefault="009E1613" w:rsidP="00353535">
                        <w:pPr>
                          <w:spacing w:after="0" w:line="240" w:lineRule="auto"/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9E1613" w:rsidRPr="00353535" w:rsidRDefault="009E1613" w:rsidP="003535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</w:tr>
                </w:tbl>
                <w:p w:rsidR="00450BD4" w:rsidRPr="00353535" w:rsidRDefault="00450BD4" w:rsidP="003535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6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734C09" w:rsidRPr="00353535" w:rsidTr="006327BE">
        <w:tc>
          <w:tcPr>
            <w:tcW w:w="8936" w:type="dxa"/>
          </w:tcPr>
          <w:p w:rsidR="00734C09" w:rsidRPr="00353535" w:rsidRDefault="00734C09" w:rsidP="00353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dxa"/>
          </w:tcPr>
          <w:p w:rsidR="00734C09" w:rsidRPr="00353535" w:rsidRDefault="00734C09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green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bookmarkEnd w:id="4"/>
      <w:bookmarkEnd w:id="5"/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</w:t>
      </w:r>
      <w:r w:rsidR="00CA1A24"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6D367E"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OBVEZE</w:t>
      </w:r>
    </w:p>
    <w:p w:rsidR="00450BD4" w:rsidRPr="00353535" w:rsidRDefault="00450BD4" w:rsidP="00E6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bookmarkStart w:id="7" w:name="OLE_LINK12"/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Stanje obveza na dan 31.12.202</w:t>
      </w:r>
      <w:r w:rsidR="002F17AA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iznosi </w:t>
      </w:r>
      <w:r w:rsidR="008B6075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283.656,46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kuna. Od navedenog iznosa dospjele obveze iznose </w:t>
      </w:r>
      <w:r w:rsidR="008B6075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30.098,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44 kuna, a nedospjele </w:t>
      </w:r>
      <w:r w:rsidR="008B6075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253.558,02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kuna.</w:t>
      </w:r>
    </w:p>
    <w:p w:rsidR="00450BD4" w:rsidRPr="00353535" w:rsidRDefault="00450BD4" w:rsidP="003535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Dospjele obveze: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992"/>
        <w:gridCol w:w="1871"/>
      </w:tblGrid>
      <w:tr w:rsidR="00450BD4" w:rsidRPr="00353535" w:rsidTr="00353535">
        <w:trPr>
          <w:trHeight w:val="31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R.B.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Iznos u kunama</w:t>
            </w:r>
          </w:p>
        </w:tc>
      </w:tr>
      <w:tr w:rsidR="00450BD4" w:rsidRPr="00353535" w:rsidTr="00353535"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353535" w:rsidRDefault="00F00CA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353535" w:rsidRDefault="00450BD4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Naknada za legalizaciju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30.098,44</w:t>
            </w:r>
          </w:p>
        </w:tc>
      </w:tr>
      <w:tr w:rsidR="00450BD4" w:rsidRPr="00353535" w:rsidTr="00353535">
        <w:trPr>
          <w:trHeight w:val="1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353535" w:rsidRDefault="00450BD4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UKUPNO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8B6075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30.098</w:t>
            </w:r>
            <w:r w:rsidR="00450BD4"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,44 </w:t>
            </w:r>
          </w:p>
        </w:tc>
      </w:tr>
    </w:tbl>
    <w:p w:rsidR="00353535" w:rsidRPr="00353535" w:rsidRDefault="00353535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Nedospjele obveze na dan 31.12.202</w:t>
      </w:r>
      <w:r w:rsidR="008B6075"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53535">
        <w:rPr>
          <w:rFonts w:ascii="Times New Roman" w:hAnsi="Times New Roman" w:cs="Times New Roman"/>
          <w:color w:val="000000" w:themeColor="text1"/>
          <w:sz w:val="24"/>
          <w:szCs w:val="24"/>
        </w:rPr>
        <w:t>. godine: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5954"/>
        <w:gridCol w:w="1984"/>
      </w:tblGrid>
      <w:tr w:rsidR="00450BD4" w:rsidRPr="00353535" w:rsidTr="00353535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R.B.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Iznos u kunama</w:t>
            </w:r>
          </w:p>
        </w:tc>
      </w:tr>
      <w:tr w:rsidR="00450BD4" w:rsidRPr="00353535" w:rsidTr="00353535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F00CA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Kontinuirani/ostali rashodi za 12/2</w:t>
            </w:r>
            <w:r w:rsidR="008F6751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8F675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122.468,24</w:t>
            </w:r>
          </w:p>
        </w:tc>
      </w:tr>
      <w:tr w:rsidR="00450BD4" w:rsidRPr="00353535" w:rsidTr="00353535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F00CA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Obveze za jamčevine po ugovoru za otklanjanje nedostataka (Asfalt AB Solin)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93.690,10</w:t>
            </w:r>
          </w:p>
        </w:tc>
      </w:tr>
      <w:tr w:rsidR="00450BD4" w:rsidRPr="00353535" w:rsidTr="00353535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F00CA4" w:rsidP="00353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Hrvatska pošta d.d., obveza za priznata ulaganja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8F6751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  <w:r w:rsidR="00450BD4" w:rsidRPr="00353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.399,68</w:t>
            </w:r>
          </w:p>
        </w:tc>
      </w:tr>
      <w:tr w:rsidR="00450BD4" w:rsidRPr="00353535" w:rsidTr="00353535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353535" w:rsidRDefault="00450BD4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450BD4" w:rsidP="003535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UKUPNO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35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>253.558,02</w:t>
            </w:r>
            <w:r w:rsidR="00450BD4" w:rsidRPr="003535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  </w:t>
            </w:r>
          </w:p>
        </w:tc>
      </w:tr>
    </w:tbl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7"/>
    <w:p w:rsidR="00450BD4" w:rsidRPr="00353535" w:rsidRDefault="00CA1A24" w:rsidP="003535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</w:t>
      </w:r>
      <w:r w:rsidR="00450BD4" w:rsidRPr="003535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POTRAŽIVANJA</w:t>
      </w:r>
      <w:bookmarkStart w:id="8" w:name="OLE_LINK16"/>
    </w:p>
    <w:p w:rsidR="00450BD4" w:rsidRPr="00353535" w:rsidRDefault="00450BD4" w:rsidP="00E6573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Ukupna potraživanja za prihode poslovanja i prodaje nefinancijske imovine iznose   </w:t>
      </w:r>
      <w:r w:rsidR="00F00CA4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243.239,07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 (konta 12+16),</w:t>
      </w:r>
    </w:p>
    <w:p w:rsidR="00450BD4" w:rsidRPr="00353535" w:rsidRDefault="00450BD4" w:rsidP="00E657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ispravak vrijednosti potraživanja (129)  </w:t>
      </w:r>
      <w:r w:rsidR="00F00CA4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134.143,23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kuna.</w:t>
      </w:r>
    </w:p>
    <w:p w:rsidR="00450BD4" w:rsidRPr="00353535" w:rsidRDefault="00450BD4" w:rsidP="0035353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450BD4" w:rsidRPr="00353535" w:rsidRDefault="00450BD4" w:rsidP="00E657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priloženoj tabeli iskazana su potraživanja po vrstama:</w:t>
      </w:r>
    </w:p>
    <w:p w:rsidR="00450BD4" w:rsidRPr="00353535" w:rsidRDefault="00450BD4" w:rsidP="00353535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559"/>
        <w:gridCol w:w="1559"/>
      </w:tblGrid>
      <w:tr w:rsidR="00450BD4" w:rsidRPr="00353535" w:rsidTr="00353535"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VRSTA PRIHODA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Ukupno potraživanje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Ispravak vrijednosti potraživanja</w:t>
            </w:r>
          </w:p>
        </w:tc>
      </w:tr>
      <w:tr w:rsidR="00450BD4" w:rsidRPr="00353535" w:rsidTr="00353535"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 za plaćeni porez i prirez po GOP-u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5.278,80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50BD4" w:rsidRPr="00353535" w:rsidTr="00353535">
        <w:trPr>
          <w:trHeight w:val="300"/>
        </w:trPr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Ostala potraživanja - više plaćeni računi iz prethodnih godina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2.51</w:t>
            </w:r>
            <w:r w:rsidR="00F00CA4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8</w:t>
            </w: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,</w:t>
            </w:r>
            <w:r w:rsidR="00C74EDE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C74EDE" w:rsidRPr="00353535" w:rsidTr="00353535">
        <w:trPr>
          <w:trHeight w:val="300"/>
        </w:trPr>
        <w:tc>
          <w:tcPr>
            <w:tcW w:w="6238" w:type="dxa"/>
          </w:tcPr>
          <w:p w:rsidR="00C74EDE" w:rsidRPr="00353535" w:rsidRDefault="00C74EDE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Potraživanja  za naknade koje se refundiraju – Ministarstvo rada, mirovinskog sustava, obitelji i socijalne politike – trošak stanovanja</w:t>
            </w:r>
          </w:p>
        </w:tc>
        <w:tc>
          <w:tcPr>
            <w:tcW w:w="1559" w:type="dxa"/>
          </w:tcPr>
          <w:p w:rsidR="00C74EDE" w:rsidRPr="00353535" w:rsidRDefault="00C74EDE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C74EDE" w:rsidRPr="00353535" w:rsidRDefault="00C74EDE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358,72</w:t>
            </w:r>
          </w:p>
        </w:tc>
        <w:tc>
          <w:tcPr>
            <w:tcW w:w="1559" w:type="dxa"/>
          </w:tcPr>
          <w:p w:rsidR="00C74EDE" w:rsidRPr="00353535" w:rsidRDefault="00C74EDE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C74EDE" w:rsidRPr="00353535" w:rsidRDefault="00C74EDE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50BD4" w:rsidRPr="00353535" w:rsidTr="00353535">
        <w:trPr>
          <w:trHeight w:val="290"/>
        </w:trPr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Potraživanja  </w:t>
            </w:r>
            <w:r w:rsidR="00F00CA4"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od zakupa i iznajmljivanja imovine</w:t>
            </w:r>
          </w:p>
          <w:p w:rsidR="00F00CA4" w:rsidRPr="00353535" w:rsidRDefault="00F00CA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Trač caffe j.d.o.o.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F00CA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500,00</w:t>
            </w:r>
          </w:p>
        </w:tc>
        <w:tc>
          <w:tcPr>
            <w:tcW w:w="1559" w:type="dxa"/>
          </w:tcPr>
          <w:p w:rsidR="00F00CA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50BD4" w:rsidRPr="00353535" w:rsidTr="00353535"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imovinu</w:t>
            </w:r>
          </w:p>
        </w:tc>
        <w:tc>
          <w:tcPr>
            <w:tcW w:w="1559" w:type="dxa"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30.102,79</w:t>
            </w:r>
          </w:p>
        </w:tc>
        <w:tc>
          <w:tcPr>
            <w:tcW w:w="1559" w:type="dxa"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21.321,28</w:t>
            </w:r>
          </w:p>
        </w:tc>
      </w:tr>
      <w:tr w:rsidR="00450BD4" w:rsidRPr="00353535" w:rsidTr="00353535"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promet</w:t>
            </w:r>
          </w:p>
        </w:tc>
        <w:tc>
          <w:tcPr>
            <w:tcW w:w="1559" w:type="dxa"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1.532,75</w:t>
            </w:r>
          </w:p>
        </w:tc>
        <w:tc>
          <w:tcPr>
            <w:tcW w:w="1559" w:type="dxa"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423,30</w:t>
            </w:r>
          </w:p>
        </w:tc>
      </w:tr>
      <w:tr w:rsidR="00450BD4" w:rsidRPr="00353535" w:rsidTr="00353535"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tvrtku</w:t>
            </w:r>
          </w:p>
        </w:tc>
        <w:tc>
          <w:tcPr>
            <w:tcW w:w="1559" w:type="dxa"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22.790,34</w:t>
            </w:r>
          </w:p>
        </w:tc>
        <w:tc>
          <w:tcPr>
            <w:tcW w:w="1559" w:type="dxa"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22.790,34</w:t>
            </w:r>
          </w:p>
        </w:tc>
      </w:tr>
      <w:tr w:rsidR="00450BD4" w:rsidRPr="00353535" w:rsidTr="00353535"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Potraživanja za prihode od nefinancijske imovine -  </w:t>
            </w:r>
          </w:p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naknadu za legalizaciju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42.997,77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50BD4" w:rsidRPr="00353535" w:rsidTr="00353535"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Komunalni doprinos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1.177,00</w:t>
            </w:r>
          </w:p>
        </w:tc>
        <w:tc>
          <w:tcPr>
            <w:tcW w:w="1559" w:type="dxa"/>
          </w:tcPr>
          <w:p w:rsidR="00450BD4" w:rsidRPr="00353535" w:rsidRDefault="00450BD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1.177,00</w:t>
            </w:r>
          </w:p>
        </w:tc>
      </w:tr>
      <w:tr w:rsidR="00450BD4" w:rsidRPr="00353535" w:rsidTr="00353535">
        <w:tc>
          <w:tcPr>
            <w:tcW w:w="6238" w:type="dxa"/>
          </w:tcPr>
          <w:p w:rsidR="00450BD4" w:rsidRPr="00353535" w:rsidRDefault="00450BD4" w:rsidP="00353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Komunalna naknada</w:t>
            </w:r>
          </w:p>
        </w:tc>
        <w:tc>
          <w:tcPr>
            <w:tcW w:w="1559" w:type="dxa"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135.982,63</w:t>
            </w:r>
          </w:p>
        </w:tc>
        <w:tc>
          <w:tcPr>
            <w:tcW w:w="1559" w:type="dxa"/>
          </w:tcPr>
          <w:p w:rsidR="00450BD4" w:rsidRPr="00353535" w:rsidRDefault="00F00CA4" w:rsidP="0035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35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88.431,31</w:t>
            </w:r>
          </w:p>
        </w:tc>
      </w:tr>
    </w:tbl>
    <w:p w:rsidR="00450BD4" w:rsidRPr="00353535" w:rsidRDefault="00450BD4" w:rsidP="00353535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450BD4" w:rsidRPr="00353535" w:rsidRDefault="00450BD4" w:rsidP="003535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573B" w:rsidRDefault="006D367E" w:rsidP="00E657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</w:t>
      </w:r>
      <w:r w:rsidR="00450BD4" w:rsidRPr="00E6573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450BD4" w:rsidRPr="00E657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9" w:name="OLE_LINK19"/>
      <w:bookmarkStart w:id="10" w:name="OLE_LINK15"/>
      <w:bookmarkEnd w:id="8"/>
      <w:r w:rsidR="00E6573B" w:rsidRPr="00E657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IZVJEŠTAJ O SALD</w:t>
      </w:r>
      <w:r w:rsidR="00E657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</w:t>
      </w:r>
      <w:r w:rsidR="00E6573B" w:rsidRPr="00E657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ŽIRORAČUNA</w:t>
      </w:r>
      <w:r w:rsidR="00E657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BLAGAJNE</w:t>
      </w:r>
    </w:p>
    <w:p w:rsidR="00C268D3" w:rsidRPr="00353535" w:rsidRDefault="00450BD4" w:rsidP="00E6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Saldo žiroračuna na dan 31.12.202</w:t>
      </w:r>
      <w:r w:rsidR="00F00CA4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iznosi </w:t>
      </w:r>
      <w:r w:rsidR="00F00CA4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2.075.491,11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kuna, a blagajne </w:t>
      </w:r>
      <w:r w:rsidR="00F00CA4"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0,00</w:t>
      </w:r>
      <w:r w:rsidRPr="003535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kuna.</w:t>
      </w:r>
      <w:bookmarkEnd w:id="9"/>
      <w:bookmarkEnd w:id="10"/>
    </w:p>
    <w:p w:rsidR="00C268D3" w:rsidRPr="00353535" w:rsidRDefault="00C268D3" w:rsidP="003535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68D3" w:rsidRPr="00353535" w:rsidRDefault="006D367E" w:rsidP="00E657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 w:eastAsia="hr-HR"/>
        </w:rPr>
      </w:pPr>
      <w:r w:rsidRPr="00353535">
        <w:rPr>
          <w:rFonts w:ascii="Times New Roman" w:hAnsi="Times New Roman" w:cs="Times New Roman"/>
          <w:b/>
          <w:sz w:val="24"/>
          <w:szCs w:val="24"/>
        </w:rPr>
        <w:t>X</w:t>
      </w:r>
      <w:r w:rsidR="00CA1A24" w:rsidRPr="00353535">
        <w:rPr>
          <w:rFonts w:ascii="Times New Roman" w:hAnsi="Times New Roman" w:cs="Times New Roman"/>
          <w:b/>
          <w:sz w:val="24"/>
          <w:szCs w:val="24"/>
        </w:rPr>
        <w:t>I</w:t>
      </w:r>
      <w:r w:rsidRPr="00353535">
        <w:rPr>
          <w:rFonts w:ascii="Times New Roman" w:hAnsi="Times New Roman" w:cs="Times New Roman"/>
          <w:b/>
          <w:sz w:val="24"/>
          <w:szCs w:val="24"/>
        </w:rPr>
        <w:t>.</w:t>
      </w:r>
      <w:r w:rsidRPr="00353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68D3" w:rsidRPr="00353535">
        <w:rPr>
          <w:rFonts w:ascii="Times New Roman" w:hAnsi="Times New Roman" w:cs="Times New Roman"/>
          <w:color w:val="000000"/>
          <w:sz w:val="24"/>
          <w:szCs w:val="24"/>
          <w:lang w:val="en-GB" w:eastAsia="hr-HR"/>
        </w:rPr>
        <w:t xml:space="preserve"> </w:t>
      </w:r>
      <w:r w:rsidR="00C268D3" w:rsidRPr="00353535">
        <w:rPr>
          <w:rFonts w:ascii="Times New Roman" w:hAnsi="Times New Roman" w:cs="Times New Roman"/>
          <w:b/>
          <w:bCs/>
          <w:sz w:val="24"/>
          <w:szCs w:val="24"/>
          <w:lang w:val="en-GB" w:eastAsia="hr-HR"/>
        </w:rPr>
        <w:t>IZVJEŠTAJ O ZADUŽIVANJU NA DOMAĆEM I STRANOM TRŽIŠTU NOVCA I KAPITALA</w:t>
      </w:r>
    </w:p>
    <w:p w:rsidR="00C268D3" w:rsidRDefault="00C268D3" w:rsidP="00353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535">
        <w:rPr>
          <w:rFonts w:ascii="Times New Roman" w:eastAsia="Times New Roman" w:hAnsi="Times New Roman" w:cs="Times New Roman"/>
          <w:sz w:val="24"/>
          <w:szCs w:val="24"/>
        </w:rPr>
        <w:t>U 2022. godini Općina se nije zaduživala.</w:t>
      </w:r>
    </w:p>
    <w:p w:rsidR="00E6573B" w:rsidRPr="00353535" w:rsidRDefault="00E6573B" w:rsidP="00353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268D3" w:rsidRPr="00353535" w:rsidRDefault="006D367E" w:rsidP="00E65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XI</w:t>
      </w:r>
      <w:r w:rsidR="00CA1A24" w:rsidRPr="003535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3535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E6573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C268D3" w:rsidRPr="003535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IZVJEŠTAJ O DANIM SUGLASNOSTIMA ZA ZADUŽIVANJE I JAMSTVIMA</w:t>
      </w:r>
    </w:p>
    <w:p w:rsidR="00C268D3" w:rsidRPr="00353535" w:rsidRDefault="00C268D3" w:rsidP="00353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5">
        <w:rPr>
          <w:rFonts w:ascii="Times New Roman" w:hAnsi="Times New Roman" w:cs="Times New Roman"/>
          <w:sz w:val="24"/>
          <w:szCs w:val="24"/>
        </w:rPr>
        <w:t xml:space="preserve">Općina Ružić je tijekom 2022. godine nije davala suglasnost za zaduživanje i jamstva. </w:t>
      </w:r>
    </w:p>
    <w:p w:rsidR="00C268D3" w:rsidRPr="00353535" w:rsidRDefault="00C268D3" w:rsidP="00353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5">
        <w:rPr>
          <w:rFonts w:ascii="Times New Roman" w:hAnsi="Times New Roman" w:cs="Times New Roman"/>
          <w:sz w:val="24"/>
          <w:szCs w:val="24"/>
        </w:rPr>
        <w:t>Na dan 31.12.2022. godine stanje  primljenih zadužnica i garancija je 1.423.359,10 kuna i izdanih zadužnica 4.710.000,00 kuna.</w:t>
      </w:r>
    </w:p>
    <w:p w:rsidR="00C268D3" w:rsidRPr="00353535" w:rsidRDefault="00C268D3" w:rsidP="00353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73B" w:rsidRDefault="006D367E" w:rsidP="00E65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5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CA1A24" w:rsidRPr="0035353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353535">
        <w:rPr>
          <w:rFonts w:ascii="Times New Roman" w:hAnsi="Times New Roman" w:cs="Times New Roman"/>
          <w:b/>
          <w:bCs/>
          <w:sz w:val="24"/>
          <w:szCs w:val="24"/>
        </w:rPr>
        <w:t>II.</w:t>
      </w:r>
      <w:r w:rsidR="00E657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68D3" w:rsidRPr="00353535">
        <w:rPr>
          <w:rFonts w:ascii="Times New Roman" w:eastAsia="Times New Roman" w:hAnsi="Times New Roman" w:cs="Times New Roman"/>
          <w:b/>
          <w:sz w:val="24"/>
          <w:szCs w:val="24"/>
          <w:lang w:val="en-GB" w:eastAsia="hr-HR"/>
        </w:rPr>
        <w:t>IZVJEŠTAJ O KORIŠTENJU PRORAČUNSKE ZALIHE</w:t>
      </w:r>
    </w:p>
    <w:p w:rsidR="00C268D3" w:rsidRPr="00E6573B" w:rsidRDefault="00C268D3" w:rsidP="00E65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3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Proračunom Općine Ružić planirana je proračunska zaliha u iznosu od 8.000,00 kuna. Sredstva proračunske zalihe tijekom 2022. godine nisu korištena.</w:t>
      </w:r>
    </w:p>
    <w:p w:rsidR="008A6FA1" w:rsidRPr="00353535" w:rsidRDefault="008A6FA1" w:rsidP="00353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6FA1" w:rsidRPr="00353535" w:rsidSect="00353535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B373DB4"/>
    <w:multiLevelType w:val="hybridMultilevel"/>
    <w:tmpl w:val="F4C4C7A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D4"/>
    <w:rsid w:val="000571D8"/>
    <w:rsid w:val="000B30B7"/>
    <w:rsid w:val="0010171F"/>
    <w:rsid w:val="00122989"/>
    <w:rsid w:val="001245BA"/>
    <w:rsid w:val="00126C0B"/>
    <w:rsid w:val="00132D06"/>
    <w:rsid w:val="0015559B"/>
    <w:rsid w:val="001C4776"/>
    <w:rsid w:val="001E0CAA"/>
    <w:rsid w:val="001E6C88"/>
    <w:rsid w:val="00217C06"/>
    <w:rsid w:val="002720A3"/>
    <w:rsid w:val="002A27A4"/>
    <w:rsid w:val="002F17AA"/>
    <w:rsid w:val="00353535"/>
    <w:rsid w:val="0041216C"/>
    <w:rsid w:val="00450BD4"/>
    <w:rsid w:val="00452A07"/>
    <w:rsid w:val="00466D7D"/>
    <w:rsid w:val="00542C36"/>
    <w:rsid w:val="005A1EFA"/>
    <w:rsid w:val="006060C3"/>
    <w:rsid w:val="006327BE"/>
    <w:rsid w:val="00662F84"/>
    <w:rsid w:val="00664BC4"/>
    <w:rsid w:val="00680EFB"/>
    <w:rsid w:val="006B257F"/>
    <w:rsid w:val="006D367E"/>
    <w:rsid w:val="006E250A"/>
    <w:rsid w:val="00734C09"/>
    <w:rsid w:val="007A00F8"/>
    <w:rsid w:val="008052D1"/>
    <w:rsid w:val="00820E41"/>
    <w:rsid w:val="008A23F3"/>
    <w:rsid w:val="008A6FA1"/>
    <w:rsid w:val="008B6075"/>
    <w:rsid w:val="008F6751"/>
    <w:rsid w:val="009C46BF"/>
    <w:rsid w:val="009E1613"/>
    <w:rsid w:val="00A148AD"/>
    <w:rsid w:val="00A561E0"/>
    <w:rsid w:val="00A72AAE"/>
    <w:rsid w:val="00B516EE"/>
    <w:rsid w:val="00B84F52"/>
    <w:rsid w:val="00BD5939"/>
    <w:rsid w:val="00C12B68"/>
    <w:rsid w:val="00C268D3"/>
    <w:rsid w:val="00C274C9"/>
    <w:rsid w:val="00C71238"/>
    <w:rsid w:val="00C743BB"/>
    <w:rsid w:val="00C74EDE"/>
    <w:rsid w:val="00C76FE0"/>
    <w:rsid w:val="00C94E70"/>
    <w:rsid w:val="00CA1A24"/>
    <w:rsid w:val="00D178D9"/>
    <w:rsid w:val="00D90832"/>
    <w:rsid w:val="00DA1973"/>
    <w:rsid w:val="00DC5089"/>
    <w:rsid w:val="00E6573B"/>
    <w:rsid w:val="00E90478"/>
    <w:rsid w:val="00E92361"/>
    <w:rsid w:val="00ED610A"/>
    <w:rsid w:val="00F00CA4"/>
    <w:rsid w:val="00F23E8F"/>
    <w:rsid w:val="00F65B30"/>
    <w:rsid w:val="00F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1C870-DF1C-4C2F-9651-C9CAB300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2D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BD4"/>
    <w:pPr>
      <w:ind w:left="720"/>
      <w:contextualSpacing/>
    </w:pPr>
  </w:style>
  <w:style w:type="paragraph" w:customStyle="1" w:styleId="Default">
    <w:name w:val="Default"/>
    <w:rsid w:val="00450B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A72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95C5-0F3E-4C8A-BC92-72861567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10</Pages>
  <Words>3492</Words>
  <Characters>19909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Korisnik</cp:lastModifiedBy>
  <cp:revision>31</cp:revision>
  <cp:lastPrinted>2023-02-24T12:51:00Z</cp:lastPrinted>
  <dcterms:created xsi:type="dcterms:W3CDTF">2023-02-20T12:46:00Z</dcterms:created>
  <dcterms:modified xsi:type="dcterms:W3CDTF">2023-03-12T11:21:00Z</dcterms:modified>
</cp:coreProperties>
</file>